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1D2315">
      <w:pPr>
        <w:pStyle w:val="2"/>
        <w:keepNext w:val="0"/>
        <w:keepLines w:val="0"/>
        <w:widowControl/>
        <w:suppressLineNumbers w:val="0"/>
        <w:spacing w:line="270" w:lineRule="atLeast"/>
        <w:jc w:val="center"/>
        <w:rPr>
          <w:rStyle w:val="5"/>
          <w:rFonts w:hint="eastAsia" w:ascii="宋体" w:hAnsi="宋体" w:eastAsia="宋体" w:cs="宋体"/>
          <w:color w:val="000000"/>
          <w:sz w:val="44"/>
          <w:szCs w:val="44"/>
          <w:u w:val="none"/>
        </w:rPr>
      </w:pPr>
      <w:r>
        <w:rPr>
          <w:rStyle w:val="5"/>
          <w:rFonts w:hint="eastAsia" w:ascii="宋体" w:hAnsi="宋体" w:eastAsia="宋体" w:cs="宋体"/>
          <w:color w:val="000000"/>
          <w:sz w:val="44"/>
          <w:szCs w:val="44"/>
          <w:u w:val="none"/>
        </w:rPr>
        <w:t>关于</w:t>
      </w:r>
      <w:r>
        <w:rPr>
          <w:rStyle w:val="5"/>
          <w:rFonts w:hint="eastAsia" w:ascii="宋体" w:hAnsi="宋体" w:eastAsia="宋体" w:cs="宋体"/>
          <w:color w:val="000000"/>
          <w:sz w:val="44"/>
          <w:szCs w:val="44"/>
          <w:u w:val="none"/>
          <w:lang w:eastAsia="zh-CN"/>
        </w:rPr>
        <w:t>认定</w:t>
      </w:r>
      <w:r>
        <w:rPr>
          <w:rStyle w:val="5"/>
          <w:rFonts w:hint="eastAsia" w:ascii="宋体" w:hAnsi="宋体" w:eastAsia="宋体" w:cs="宋体"/>
          <w:color w:val="000000"/>
          <w:sz w:val="44"/>
          <w:szCs w:val="44"/>
          <w:u w:val="none"/>
        </w:rPr>
        <w:t>20</w:t>
      </w:r>
      <w:r>
        <w:rPr>
          <w:rStyle w:val="5"/>
          <w:rFonts w:hint="eastAsia" w:ascii="宋体" w:hAnsi="宋体" w:eastAsia="宋体" w:cs="宋体"/>
          <w:color w:val="000000"/>
          <w:sz w:val="44"/>
          <w:szCs w:val="44"/>
          <w:u w:val="none"/>
          <w:lang w:val="en-US" w:eastAsia="zh-CN"/>
        </w:rPr>
        <w:t>24</w:t>
      </w:r>
      <w:r>
        <w:rPr>
          <w:rStyle w:val="5"/>
          <w:rFonts w:hint="eastAsia" w:ascii="宋体" w:hAnsi="宋体" w:eastAsia="宋体" w:cs="宋体"/>
          <w:color w:val="000000"/>
          <w:sz w:val="44"/>
          <w:szCs w:val="44"/>
          <w:u w:val="none"/>
        </w:rPr>
        <w:t>年</w:t>
      </w:r>
      <w:r>
        <w:rPr>
          <w:rStyle w:val="5"/>
          <w:rFonts w:hint="eastAsia" w:ascii="宋体" w:hAnsi="宋体" w:eastAsia="宋体" w:cs="宋体"/>
          <w:color w:val="000000"/>
          <w:sz w:val="44"/>
          <w:szCs w:val="44"/>
          <w:u w:val="none"/>
          <w:lang w:eastAsia="zh-CN"/>
        </w:rPr>
        <w:t>宁陵</w:t>
      </w:r>
      <w:r>
        <w:rPr>
          <w:rStyle w:val="5"/>
          <w:rFonts w:hint="eastAsia" w:ascii="宋体" w:hAnsi="宋体" w:eastAsia="宋体" w:cs="宋体"/>
          <w:color w:val="000000"/>
          <w:sz w:val="44"/>
          <w:szCs w:val="44"/>
          <w:u w:val="none"/>
        </w:rPr>
        <w:t>县</w:t>
      </w:r>
    </w:p>
    <w:p w14:paraId="2DA8A9B4">
      <w:pPr>
        <w:pStyle w:val="2"/>
        <w:keepNext w:val="0"/>
        <w:keepLines w:val="0"/>
        <w:widowControl/>
        <w:suppressLineNumbers w:val="0"/>
        <w:spacing w:line="270" w:lineRule="atLeast"/>
        <w:jc w:val="center"/>
        <w:rPr>
          <w:rStyle w:val="5"/>
          <w:rFonts w:hint="eastAsia" w:ascii="宋体" w:hAnsi="宋体" w:eastAsia="宋体" w:cs="宋体"/>
          <w:color w:val="000000"/>
          <w:sz w:val="44"/>
          <w:szCs w:val="44"/>
          <w:u w:val="none"/>
        </w:rPr>
      </w:pPr>
      <w:r>
        <w:rPr>
          <w:rStyle w:val="5"/>
          <w:rFonts w:hint="eastAsia" w:ascii="宋体" w:hAnsi="宋体" w:eastAsia="宋体" w:cs="宋体"/>
          <w:color w:val="000000"/>
          <w:sz w:val="44"/>
          <w:szCs w:val="44"/>
          <w:u w:val="none"/>
        </w:rPr>
        <w:t>就业见习基地（单位）的公示</w:t>
      </w:r>
    </w:p>
    <w:p w14:paraId="023DB25D">
      <w:pPr>
        <w:pStyle w:val="2"/>
        <w:keepNext w:val="0"/>
        <w:keepLines w:val="0"/>
        <w:widowControl/>
        <w:suppressLineNumbers w:val="0"/>
        <w:spacing w:line="270" w:lineRule="atLeast"/>
        <w:jc w:val="center"/>
        <w:rPr>
          <w:rStyle w:val="5"/>
          <w:rFonts w:hint="eastAsia" w:ascii="宋体" w:hAnsi="宋体" w:eastAsia="宋体" w:cs="宋体"/>
          <w:color w:val="000000"/>
          <w:sz w:val="44"/>
          <w:szCs w:val="44"/>
          <w:u w:val="none"/>
        </w:rPr>
      </w:pPr>
    </w:p>
    <w:p w14:paraId="5F3B51AF">
      <w:pPr>
        <w:ind w:firstLine="640" w:firstLineChars="200"/>
        <w:rPr>
          <w:rFonts w:hint="eastAsia" w:ascii="宋体" w:hAnsi="宋体" w:eastAsia="宋体" w:cs="宋体"/>
          <w:sz w:val="32"/>
          <w:szCs w:val="32"/>
        </w:rPr>
      </w:pPr>
      <w:r>
        <w:rPr>
          <w:rFonts w:hint="eastAsia" w:ascii="宋体" w:hAnsi="宋体" w:eastAsia="宋体" w:cs="宋体"/>
          <w:sz w:val="32"/>
          <w:szCs w:val="32"/>
          <w:lang w:val="en-US" w:eastAsia="zh-CN"/>
        </w:rPr>
        <w:t>为规范推进我县高校毕业生就业见习工作，完善全县就业见习基地（单位）管理，促进高校毕业生通过见习顺利实现就业，根据</w:t>
      </w:r>
      <w:r>
        <w:rPr>
          <w:rFonts w:hint="eastAsia" w:ascii="宋体" w:hAnsi="宋体" w:eastAsia="宋体" w:cs="宋体"/>
          <w:sz w:val="32"/>
          <w:szCs w:val="32"/>
        </w:rPr>
        <w:t>根据河南省人力资源和社会保障厅关于印发</w:t>
      </w:r>
      <w:r>
        <w:rPr>
          <w:rFonts w:hint="eastAsia" w:ascii="宋体" w:hAnsi="宋体" w:eastAsia="宋体" w:cs="宋体"/>
          <w:sz w:val="32"/>
          <w:szCs w:val="32"/>
          <w:lang w:eastAsia="zh-CN"/>
        </w:rPr>
        <w:t>《</w:t>
      </w:r>
      <w:r>
        <w:rPr>
          <w:rFonts w:hint="eastAsia" w:ascii="宋体" w:hAnsi="宋体" w:eastAsia="宋体" w:cs="宋体"/>
          <w:sz w:val="32"/>
          <w:szCs w:val="32"/>
        </w:rPr>
        <w:t>河南省就业见习管理</w:t>
      </w:r>
      <w:r>
        <w:rPr>
          <w:rFonts w:hint="eastAsia" w:ascii="宋体" w:hAnsi="宋体" w:eastAsia="宋体" w:cs="宋体"/>
          <w:sz w:val="32"/>
          <w:szCs w:val="32"/>
          <w:lang w:eastAsia="zh-CN"/>
        </w:rPr>
        <w:t>暂行</w:t>
      </w:r>
      <w:r>
        <w:rPr>
          <w:rFonts w:hint="eastAsia" w:ascii="宋体" w:hAnsi="宋体" w:eastAsia="宋体" w:cs="宋体"/>
          <w:sz w:val="32"/>
          <w:szCs w:val="32"/>
        </w:rPr>
        <w:t>办法</w:t>
      </w:r>
      <w:r>
        <w:rPr>
          <w:rFonts w:hint="eastAsia" w:ascii="宋体" w:hAnsi="宋体" w:eastAsia="宋体" w:cs="宋体"/>
          <w:sz w:val="32"/>
          <w:szCs w:val="32"/>
          <w:lang w:eastAsia="zh-CN"/>
        </w:rPr>
        <w:t>》</w:t>
      </w:r>
      <w:r>
        <w:rPr>
          <w:rFonts w:hint="eastAsia" w:ascii="宋体" w:hAnsi="宋体" w:eastAsia="宋体" w:cs="宋体"/>
          <w:sz w:val="32"/>
          <w:szCs w:val="32"/>
        </w:rPr>
        <w:t>的通知（豫人社</w:t>
      </w:r>
      <w:r>
        <w:rPr>
          <w:rFonts w:hint="eastAsia" w:ascii="宋体" w:hAnsi="宋体" w:eastAsia="宋体" w:cs="宋体"/>
          <w:sz w:val="32"/>
          <w:szCs w:val="32"/>
          <w:lang w:eastAsia="zh-CN"/>
        </w:rPr>
        <w:t>规</w:t>
      </w:r>
      <w:r>
        <w:rPr>
          <w:rFonts w:hint="eastAsia" w:ascii="宋体" w:hAnsi="宋体" w:eastAsia="宋体" w:cs="宋体"/>
          <w:sz w:val="32"/>
          <w:szCs w:val="32"/>
          <w:lang w:val="en-US" w:eastAsia="zh-CN"/>
        </w:rPr>
        <w:t>[</w:t>
      </w:r>
      <w:r>
        <w:rPr>
          <w:rFonts w:hint="eastAsia" w:ascii="宋体" w:hAnsi="宋体" w:eastAsia="宋体" w:cs="宋体"/>
          <w:sz w:val="32"/>
          <w:szCs w:val="32"/>
        </w:rPr>
        <w:t>20</w:t>
      </w:r>
      <w:r>
        <w:rPr>
          <w:rFonts w:hint="eastAsia" w:ascii="宋体" w:hAnsi="宋体" w:eastAsia="宋体" w:cs="宋体"/>
          <w:sz w:val="32"/>
          <w:szCs w:val="32"/>
          <w:lang w:val="en-US" w:eastAsia="zh-CN"/>
        </w:rPr>
        <w:t>23]74</w:t>
      </w:r>
      <w:r>
        <w:rPr>
          <w:rFonts w:hint="eastAsia" w:ascii="宋体" w:hAnsi="宋体" w:eastAsia="宋体" w:cs="宋体"/>
          <w:sz w:val="32"/>
          <w:szCs w:val="32"/>
        </w:rPr>
        <w:t>号）文件</w:t>
      </w:r>
      <w:r>
        <w:rPr>
          <w:rFonts w:hint="eastAsia" w:ascii="宋体" w:hAnsi="宋体" w:eastAsia="宋体" w:cs="宋体"/>
          <w:sz w:val="32"/>
          <w:szCs w:val="32"/>
          <w:lang w:val="en-US" w:eastAsia="zh-CN"/>
        </w:rPr>
        <w:t>要求，经县人社部门审核，拟认定商丘市映丘文化传播有限公司为我县就业见习基地（单位），现予以公示，时间为2024年8月22日至2024年8月29日。有关单位及个人如有异议或意见，可在公示期内向宁陵县人力资源和社会保障局就业促进工作办公室反映。</w:t>
      </w:r>
    </w:p>
    <w:p w14:paraId="62BF8B1C">
      <w:pPr>
        <w:rPr>
          <w:rFonts w:hint="default" w:ascii="宋体" w:hAnsi="宋体" w:eastAsia="宋体" w:cs="宋体"/>
          <w:sz w:val="32"/>
          <w:szCs w:val="32"/>
          <w:lang w:val="en-US"/>
        </w:rPr>
      </w:pPr>
      <w:r>
        <w:rPr>
          <w:rFonts w:hint="eastAsia" w:ascii="宋体" w:hAnsi="宋体" w:eastAsia="宋体" w:cs="宋体"/>
          <w:sz w:val="32"/>
          <w:szCs w:val="32"/>
          <w:lang w:val="en-US" w:eastAsia="zh-CN"/>
        </w:rPr>
        <w:t>    联系电话 0370-7799528</w:t>
      </w:r>
      <w:bookmarkStart w:id="0" w:name="_GoBack"/>
      <w:bookmarkEnd w:id="0"/>
    </w:p>
    <w:p w14:paraId="4F2462C6">
      <w:pPr>
        <w:keepNext w:val="0"/>
        <w:keepLines w:val="0"/>
        <w:widowControl/>
        <w:suppressLineNumbers w:val="0"/>
        <w:spacing w:line="375" w:lineRule="atLeast"/>
        <w:jc w:val="left"/>
        <w:rPr>
          <w:rFonts w:hint="eastAsia" w:ascii="宋体" w:hAnsi="宋体" w:eastAsia="宋体" w:cs="宋体"/>
          <w:color w:val="000000"/>
          <w:sz w:val="32"/>
          <w:szCs w:val="32"/>
          <w:u w:val="none"/>
        </w:rPr>
      </w:pPr>
      <w:r>
        <w:rPr>
          <w:rFonts w:hint="eastAsia" w:ascii="宋体" w:hAnsi="宋体" w:eastAsia="宋体" w:cs="宋体"/>
          <w:color w:val="000000"/>
          <w:kern w:val="0"/>
          <w:sz w:val="32"/>
          <w:szCs w:val="32"/>
          <w:u w:val="none"/>
          <w:lang w:val="en-US" w:eastAsia="zh-CN" w:bidi="ar"/>
        </w:rPr>
        <w:t xml:space="preserve">    </w:t>
      </w:r>
    </w:p>
    <w:p w14:paraId="4EACCC5D">
      <w:pPr>
        <w:keepNext w:val="0"/>
        <w:keepLines w:val="0"/>
        <w:widowControl/>
        <w:suppressLineNumbers w:val="0"/>
        <w:spacing w:line="375" w:lineRule="atLeast"/>
        <w:jc w:val="left"/>
        <w:rPr>
          <w:rFonts w:hint="eastAsia" w:ascii="宋体" w:hAnsi="宋体" w:eastAsia="宋体" w:cs="宋体"/>
          <w:color w:val="000000"/>
          <w:sz w:val="32"/>
          <w:szCs w:val="32"/>
          <w:u w:val="none"/>
        </w:rPr>
      </w:pPr>
      <w:r>
        <w:rPr>
          <w:rFonts w:hint="eastAsia" w:ascii="宋体" w:hAnsi="宋体" w:eastAsia="宋体" w:cs="宋体"/>
          <w:color w:val="000000"/>
          <w:kern w:val="0"/>
          <w:sz w:val="32"/>
          <w:szCs w:val="32"/>
          <w:u w:val="none"/>
          <w:lang w:val="en-US" w:eastAsia="zh-CN" w:bidi="ar"/>
        </w:rPr>
        <w:t> </w:t>
      </w:r>
    </w:p>
    <w:p w14:paraId="57FDECE3">
      <w:pPr>
        <w:keepNext w:val="0"/>
        <w:keepLines w:val="0"/>
        <w:widowControl/>
        <w:suppressLineNumbers w:val="0"/>
        <w:spacing w:line="375" w:lineRule="atLeast"/>
        <w:jc w:val="left"/>
        <w:rPr>
          <w:rFonts w:hint="eastAsia" w:ascii="宋体" w:hAnsi="宋体" w:eastAsia="宋体" w:cs="宋体"/>
          <w:color w:val="000000"/>
          <w:sz w:val="32"/>
          <w:szCs w:val="32"/>
          <w:u w:val="none"/>
        </w:rPr>
      </w:pPr>
      <w:r>
        <w:rPr>
          <w:rFonts w:hint="eastAsia" w:ascii="宋体" w:hAnsi="宋体" w:eastAsia="宋体" w:cs="宋体"/>
          <w:color w:val="000000"/>
          <w:kern w:val="0"/>
          <w:sz w:val="32"/>
          <w:szCs w:val="32"/>
          <w:u w:val="none"/>
          <w:lang w:val="en-US" w:eastAsia="zh-CN" w:bidi="ar"/>
        </w:rPr>
        <w:t>                                                  宁陵县人力资源和社会保障局</w:t>
      </w:r>
    </w:p>
    <w:p w14:paraId="64061BB2">
      <w:pPr>
        <w:keepNext w:val="0"/>
        <w:keepLines w:val="0"/>
        <w:widowControl/>
        <w:suppressLineNumbers w:val="0"/>
        <w:spacing w:line="375" w:lineRule="atLeast"/>
        <w:jc w:val="left"/>
        <w:rPr>
          <w:rFonts w:hint="eastAsia" w:ascii="宋体" w:hAnsi="宋体" w:eastAsia="宋体" w:cs="宋体"/>
          <w:color w:val="000000"/>
          <w:sz w:val="32"/>
          <w:szCs w:val="32"/>
          <w:u w:val="none"/>
        </w:rPr>
      </w:pPr>
      <w:r>
        <w:rPr>
          <w:rFonts w:hint="eastAsia" w:ascii="宋体" w:hAnsi="宋体" w:eastAsia="宋体" w:cs="宋体"/>
          <w:color w:val="000000"/>
          <w:kern w:val="0"/>
          <w:sz w:val="32"/>
          <w:szCs w:val="32"/>
          <w:u w:val="none"/>
          <w:lang w:val="en-US" w:eastAsia="zh-CN" w:bidi="ar"/>
        </w:rPr>
        <w:t>                    2024年8月22日   </w:t>
      </w:r>
    </w:p>
    <w:p w14:paraId="24F9D7EC">
      <w:pPr>
        <w:rPr>
          <w:rFonts w:hint="eastAsia" w:ascii="宋体" w:hAnsi="宋体" w:eastAsia="宋体" w:cs="宋体"/>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llMDZkMGI3YTBlZDcyNWQ0OTQxNWRlZGZjYmI2YzMifQ=="/>
  </w:docVars>
  <w:rsids>
    <w:rsidRoot w:val="36DA2DAF"/>
    <w:rsid w:val="03507349"/>
    <w:rsid w:val="08C6543B"/>
    <w:rsid w:val="0B3F50AC"/>
    <w:rsid w:val="10C5247C"/>
    <w:rsid w:val="147246C9"/>
    <w:rsid w:val="169404CA"/>
    <w:rsid w:val="1A3A7A37"/>
    <w:rsid w:val="1B3A5814"/>
    <w:rsid w:val="1F8B2AE2"/>
    <w:rsid w:val="21B93937"/>
    <w:rsid w:val="2B2D0EF2"/>
    <w:rsid w:val="316B5120"/>
    <w:rsid w:val="32BA1581"/>
    <w:rsid w:val="36DA2DAF"/>
    <w:rsid w:val="451F76A5"/>
    <w:rsid w:val="47280A93"/>
    <w:rsid w:val="50283482"/>
    <w:rsid w:val="54AD082A"/>
    <w:rsid w:val="5DBE5856"/>
    <w:rsid w:val="5FC66C44"/>
    <w:rsid w:val="693B41FE"/>
    <w:rsid w:val="6D535020"/>
    <w:rsid w:val="6F1C1F7E"/>
    <w:rsid w:val="79C724EF"/>
    <w:rsid w:val="7A8B75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FollowedHyperlink"/>
    <w:basedOn w:val="4"/>
    <w:qFormat/>
    <w:uiPriority w:val="0"/>
    <w:rPr>
      <w:color w:val="000000"/>
      <w:sz w:val="18"/>
      <w:szCs w:val="18"/>
      <w:u w:val="none"/>
    </w:rPr>
  </w:style>
  <w:style w:type="character" w:styleId="7">
    <w:name w:val="Hyperlink"/>
    <w:basedOn w:val="4"/>
    <w:qFormat/>
    <w:uiPriority w:val="0"/>
    <w:rPr>
      <w:color w:val="000000"/>
      <w:sz w:val="18"/>
      <w:szCs w:val="18"/>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Pages>1</Pages>
  <Words>294</Words>
  <Characters>324</Characters>
  <Lines>0</Lines>
  <Paragraphs>0</Paragraphs>
  <TotalTime>902</TotalTime>
  <ScaleCrop>false</ScaleCrop>
  <LinksUpToDate>false</LinksUpToDate>
  <CharactersWithSpaces>407</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2018-08-09T00:51:00Z</dcterms:created>
  <dc:creator>Administrator</dc:creator>
  <cp:lastModifiedBy>高英</cp:lastModifiedBy>
  <cp:lastPrinted>2020-09-07T09:02:00Z</cp:lastPrinted>
  <dcterms:modified xsi:type="dcterms:W3CDTF">2024-08-22T08:49:00Z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F5996B65C4374D838EDA9A477A3C2A45_12</vt:lpwstr>
  </property>
</Properties>
</file>